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114300</wp:posOffset>
            </wp:positionV>
            <wp:extent cx="7772400" cy="138112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BodyText"/>
        <w:tabs>
          <w:tab w:pos="4319" w:val="left" w:leader="none"/>
        </w:tabs>
        <w:spacing w:before="93"/>
        <w:ind w:left="144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pt;margin-top:20.009865pt;width:206.4pt;height:42.2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76"/>
                    <w:gridCol w:w="1477"/>
                    <w:gridCol w:w="777"/>
                  </w:tblGrid>
                  <w:tr>
                    <w:trPr>
                      <w:trHeight w:val="272" w:hRule="atLeast"/>
                    </w:trPr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spacing w:line="246" w:lineRule="exact" w:before="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Aguascalientes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246" w:lineRule="exact" w:before="0"/>
                          <w:ind w:left="313" w:right="27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AGN001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6" w:lineRule="exact" w:before="0"/>
                          <w:ind w:left="0"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0.30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Aguascalientes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ind w:left="313" w:right="27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AGN002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ind w:left="0"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0.30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1876" w:type="dxa"/>
                      </w:tcPr>
                      <w:p>
                        <w:pPr>
                          <w:pStyle w:val="TableParagraph"/>
                          <w:spacing w:line="233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Aguascalientes</w:t>
                        </w:r>
                      </w:p>
                    </w:tc>
                    <w:tc>
                      <w:tcPr>
                        <w:tcW w:w="1477" w:type="dxa"/>
                      </w:tcPr>
                      <w:p>
                        <w:pPr>
                          <w:pStyle w:val="TableParagraph"/>
                          <w:spacing w:line="233" w:lineRule="exact"/>
                          <w:ind w:left="301" w:right="27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AGE003</w:t>
                        </w:r>
                      </w:p>
                    </w:tc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33" w:lineRule="exact"/>
                          <w:ind w:left="0" w:right="5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0.32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Estado</w:t>
      </w:r>
      <w:r>
        <w:rPr>
          <w:spacing w:val="-26"/>
        </w:rPr>
        <w:t> </w:t>
      </w:r>
      <w:r>
        <w:rPr>
          <w:spacing w:val="-1"/>
        </w:rPr>
        <w:t>Clave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Sucursal</w:t>
        <w:tab/>
      </w:r>
      <w:r>
        <w:rPr/>
        <w:t>Margen</w:t>
      </w:r>
      <w:r>
        <w:rPr>
          <w:spacing w:val="-5"/>
        </w:rPr>
        <w:t> </w:t>
      </w:r>
      <w:r>
        <w:rPr/>
        <w:t>bruto</w:t>
      </w:r>
    </w:p>
    <w:p>
      <w:pPr>
        <w:pStyle w:val="BodyText"/>
        <w:tabs>
          <w:tab w:pos="4747" w:val="right" w:leader="none"/>
        </w:tabs>
        <w:spacing w:before="947"/>
        <w:ind w:left="1440"/>
      </w:pPr>
      <w:r>
        <w:rPr/>
        <w:t>Baja</w:t>
      </w:r>
      <w:r>
        <w:rPr>
          <w:spacing w:val="-2"/>
        </w:rPr>
        <w:t> </w:t>
      </w:r>
      <w:r>
        <w:rPr/>
        <w:t>CaliforniaBCS004</w:t>
      </w:r>
      <w:r>
        <w:rPr>
          <w:rFonts w:ascii="Times New Roman"/>
        </w:rPr>
        <w:tab/>
      </w:r>
      <w:r>
        <w:rPr/>
        <w:t>0.40</w:t>
      </w:r>
    </w:p>
    <w:p>
      <w:pPr>
        <w:pStyle w:val="BodyText"/>
        <w:tabs>
          <w:tab w:pos="4747" w:val="right" w:leader="none"/>
        </w:tabs>
        <w:spacing w:before="47"/>
        <w:ind w:left="1440"/>
      </w:pPr>
      <w:r>
        <w:rPr/>
        <w:t>Baja</w:t>
      </w:r>
      <w:r>
        <w:rPr>
          <w:spacing w:val="-2"/>
        </w:rPr>
        <w:t> </w:t>
      </w:r>
      <w:r>
        <w:rPr/>
        <w:t>CaliforniaBCN005</w:t>
      </w:r>
      <w:r>
        <w:rPr>
          <w:rFonts w:ascii="Times New Roman"/>
        </w:rPr>
        <w:tab/>
      </w:r>
      <w:r>
        <w:rPr/>
        <w:t>0.40</w:t>
      </w:r>
    </w:p>
    <w:p>
      <w:pPr>
        <w:pStyle w:val="BodyText"/>
        <w:tabs>
          <w:tab w:pos="2879" w:val="left" w:leader="none"/>
          <w:tab w:pos="4747" w:val="right" w:leader="none"/>
        </w:tabs>
        <w:spacing w:before="47" w:after="54"/>
        <w:ind w:left="1440"/>
      </w:pPr>
      <w:r>
        <w:rPr/>
        <w:t>Chiapas</w:t>
        <w:tab/>
        <w:t>CHO006</w:t>
      </w:r>
      <w:r>
        <w:rPr>
          <w:rFonts w:ascii="Times New Roman"/>
        </w:rPr>
        <w:tab/>
      </w:r>
      <w:r>
        <w:rPr/>
        <w:t>0.38</w:t>
      </w:r>
    </w:p>
    <w:tbl>
      <w:tblPr>
        <w:tblW w:w="0" w:type="auto"/>
        <w:jc w:val="left"/>
        <w:tblInd w:w="1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689"/>
        <w:gridCol w:w="621"/>
        <w:gridCol w:w="758"/>
        <w:gridCol w:w="720"/>
      </w:tblGrid>
      <w:tr>
        <w:trPr>
          <w:trHeight w:val="272" w:hRule="atLeast"/>
        </w:trPr>
        <w:tc>
          <w:tcPr>
            <w:tcW w:w="2027" w:type="dxa"/>
            <w:gridSpan w:val="2"/>
          </w:tcPr>
          <w:p>
            <w:pPr>
              <w:pStyle w:val="TableParagraph"/>
              <w:spacing w:line="246" w:lineRule="exact" w:before="0"/>
              <w:rPr>
                <w:sz w:val="22"/>
              </w:rPr>
            </w:pP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México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spacing w:line="246" w:lineRule="exact" w:before="0"/>
              <w:ind w:left="182"/>
              <w:rPr>
                <w:sz w:val="22"/>
              </w:rPr>
            </w:pPr>
            <w:r>
              <w:rPr>
                <w:sz w:val="22"/>
              </w:rPr>
              <w:t>CMC007</w:t>
            </w:r>
          </w:p>
        </w:tc>
        <w:tc>
          <w:tcPr>
            <w:tcW w:w="720" w:type="dxa"/>
          </w:tcPr>
          <w:p>
            <w:pPr>
              <w:pStyle w:val="TableParagraph"/>
              <w:spacing w:line="246" w:lineRule="exact" w:before="0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México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CMN008</w:t>
            </w:r>
          </w:p>
        </w:tc>
        <w:tc>
          <w:tcPr>
            <w:tcW w:w="720" w:type="dxa"/>
          </w:tcPr>
          <w:p>
            <w:pPr>
              <w:pStyle w:val="TableParagraph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</w:tr>
      <w:tr>
        <w:trPr>
          <w:trHeight w:val="299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México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CME009</w:t>
            </w:r>
          </w:p>
        </w:tc>
        <w:tc>
          <w:tcPr>
            <w:tcW w:w="720" w:type="dxa"/>
          </w:tcPr>
          <w:p>
            <w:pPr>
              <w:pStyle w:val="TableParagraph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México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CMO010</w:t>
            </w:r>
          </w:p>
        </w:tc>
        <w:tc>
          <w:tcPr>
            <w:tcW w:w="720" w:type="dxa"/>
          </w:tcPr>
          <w:p>
            <w:pPr>
              <w:pStyle w:val="TableParagraph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</w:tr>
      <w:tr>
        <w:trPr>
          <w:trHeight w:val="272" w:hRule="atLeast"/>
        </w:trPr>
        <w:tc>
          <w:tcPr>
            <w:tcW w:w="2027" w:type="dxa"/>
            <w:gridSpan w:val="2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Ciudad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México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spacing w:line="233" w:lineRule="exact"/>
              <w:ind w:left="182"/>
              <w:rPr>
                <w:sz w:val="22"/>
              </w:rPr>
            </w:pPr>
            <w:r>
              <w:rPr>
                <w:sz w:val="22"/>
              </w:rPr>
              <w:t>CMS011</w:t>
            </w:r>
          </w:p>
        </w:tc>
        <w:tc>
          <w:tcPr>
            <w:tcW w:w="720" w:type="dxa"/>
          </w:tcPr>
          <w:p>
            <w:pPr>
              <w:pStyle w:val="TableParagraph"/>
              <w:spacing w:line="233" w:lineRule="exact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</w:tr>
      <w:tr>
        <w:trPr>
          <w:trHeight w:val="327" w:hRule="atLeast"/>
        </w:trPr>
        <w:tc>
          <w:tcPr>
            <w:tcW w:w="1338" w:type="dxa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Durango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spacing w:before="47"/>
              <w:ind w:left="151"/>
              <w:rPr>
                <w:sz w:val="22"/>
              </w:rPr>
            </w:pPr>
            <w:r>
              <w:rPr>
                <w:sz w:val="22"/>
              </w:rPr>
              <w:t>DUC012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spacing w:before="47"/>
              <w:ind w:left="281"/>
              <w:rPr>
                <w:sz w:val="22"/>
              </w:rPr>
            </w:pPr>
            <w:r>
              <w:rPr>
                <w:sz w:val="22"/>
              </w:rPr>
              <w:t>0.32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Guanajuato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GUC013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0.35</w:t>
            </w:r>
          </w:p>
        </w:tc>
      </w:tr>
      <w:tr>
        <w:trPr>
          <w:trHeight w:val="272" w:hRule="atLeast"/>
        </w:trPr>
        <w:tc>
          <w:tcPr>
            <w:tcW w:w="1338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Guanajuato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spacing w:line="233" w:lineRule="exact"/>
              <w:ind w:left="151"/>
              <w:rPr>
                <w:sz w:val="22"/>
              </w:rPr>
            </w:pPr>
            <w:r>
              <w:rPr>
                <w:sz w:val="22"/>
              </w:rPr>
              <w:t>GUS014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spacing w:line="233" w:lineRule="exact"/>
              <w:ind w:left="281"/>
              <w:rPr>
                <w:sz w:val="22"/>
              </w:rPr>
            </w:pPr>
            <w:r>
              <w:rPr>
                <w:sz w:val="22"/>
              </w:rPr>
              <w:t>0.36</w:t>
            </w:r>
          </w:p>
        </w:tc>
      </w:tr>
      <w:tr>
        <w:trPr>
          <w:trHeight w:val="327" w:hRule="atLeast"/>
        </w:trPr>
        <w:tc>
          <w:tcPr>
            <w:tcW w:w="2027" w:type="dxa"/>
            <w:gridSpan w:val="2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Hidalgo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spacing w:before="47"/>
              <w:ind w:left="182"/>
              <w:rPr>
                <w:sz w:val="22"/>
              </w:rPr>
            </w:pPr>
            <w:r>
              <w:rPr>
                <w:sz w:val="22"/>
              </w:rPr>
              <w:t>EHN015</w:t>
            </w:r>
          </w:p>
        </w:tc>
        <w:tc>
          <w:tcPr>
            <w:tcW w:w="720" w:type="dxa"/>
          </w:tcPr>
          <w:p>
            <w:pPr>
              <w:pStyle w:val="TableParagraph"/>
              <w:spacing w:before="47"/>
              <w:ind w:left="0" w:right="46"/>
              <w:jc w:val="right"/>
              <w:rPr>
                <w:sz w:val="22"/>
              </w:rPr>
            </w:pPr>
            <w:r>
              <w:rPr>
                <w:sz w:val="22"/>
              </w:rPr>
              <w:t>0.38</w:t>
            </w: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Jalisco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JAC016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0.47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Jalisco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JAN017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0.45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Jalisco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JAS018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0.46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027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Jalisco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JAE019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0.42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2027" w:type="dxa"/>
            <w:gridSpan w:val="2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Jalisco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JAO020</w:t>
            </w:r>
          </w:p>
        </w:tc>
        <w:tc>
          <w:tcPr>
            <w:tcW w:w="1379" w:type="dxa"/>
            <w:gridSpan w:val="2"/>
          </w:tcPr>
          <w:p>
            <w:pPr>
              <w:pStyle w:val="TableParagraph"/>
              <w:spacing w:line="233" w:lineRule="exact"/>
              <w:ind w:left="182"/>
              <w:rPr>
                <w:sz w:val="22"/>
              </w:rPr>
            </w:pPr>
            <w:r>
              <w:rPr>
                <w:sz w:val="22"/>
              </w:rPr>
              <w:t>0.48</w:t>
            </w:r>
          </w:p>
        </w:tc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1338" w:type="dxa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Michoacán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spacing w:before="47"/>
              <w:ind w:left="151"/>
              <w:rPr>
                <w:sz w:val="22"/>
              </w:rPr>
            </w:pPr>
            <w:r>
              <w:rPr>
                <w:sz w:val="22"/>
              </w:rPr>
              <w:t>MIS021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spacing w:before="47"/>
              <w:ind w:left="281"/>
              <w:rPr>
                <w:sz w:val="22"/>
              </w:rPr>
            </w:pPr>
            <w:r>
              <w:rPr>
                <w:sz w:val="22"/>
              </w:rPr>
              <w:t>0.39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Morelos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MON022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0.40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Querétaro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QUS023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0.42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Yucatán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YUS024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0.50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Yucatán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YUN025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0.50</w:t>
            </w:r>
          </w:p>
        </w:tc>
      </w:tr>
      <w:tr>
        <w:trPr>
          <w:trHeight w:val="300" w:hRule="atLeast"/>
        </w:trPr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Yucatán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YUC026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0.52</w:t>
            </w:r>
          </w:p>
        </w:tc>
      </w:tr>
      <w:tr>
        <w:trPr>
          <w:trHeight w:val="272" w:hRule="atLeast"/>
        </w:trPr>
        <w:tc>
          <w:tcPr>
            <w:tcW w:w="1338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Zacatecas</w:t>
            </w:r>
          </w:p>
        </w:tc>
        <w:tc>
          <w:tcPr>
            <w:tcW w:w="1310" w:type="dxa"/>
            <w:gridSpan w:val="2"/>
          </w:tcPr>
          <w:p>
            <w:pPr>
              <w:pStyle w:val="TableParagraph"/>
              <w:spacing w:line="233" w:lineRule="exact"/>
              <w:ind w:left="151"/>
              <w:rPr>
                <w:sz w:val="22"/>
              </w:rPr>
            </w:pPr>
            <w:r>
              <w:rPr>
                <w:sz w:val="22"/>
              </w:rPr>
              <w:t>ZAN027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spacing w:line="233" w:lineRule="exact"/>
              <w:ind w:left="281"/>
              <w:rPr>
                <w:sz w:val="22"/>
              </w:rPr>
            </w:pPr>
            <w:r>
              <w:rPr>
                <w:sz w:val="22"/>
              </w:rPr>
              <w:t>0.36</w:t>
            </w:r>
          </w:p>
        </w:tc>
      </w:tr>
    </w:tbl>
    <w:sectPr>
      <w:type w:val="continuous"/>
      <w:pgSz w:w="12240" w:h="15840"/>
      <w:pgMar w:top="1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ind w:left="5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Sucursales por estado</dc:title>
  <dcterms:created xsi:type="dcterms:W3CDTF">2022-04-22T22:21:45Z</dcterms:created>
  <dcterms:modified xsi:type="dcterms:W3CDTF">2022-04-22T22:21:45Z</dcterms:modified>
</cp:coreProperties>
</file>